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7453B9" w14:textId="77777777" w:rsidR="004B23C9" w:rsidRPr="00DD5446" w:rsidRDefault="004B23C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ptos" w:eastAsia="Arial" w:hAnsi="Aptos" w:cs="Arial"/>
          <w:color w:val="000000"/>
          <w:sz w:val="20"/>
          <w:szCs w:val="20"/>
        </w:rPr>
      </w:pPr>
    </w:p>
    <w:p w14:paraId="1220D026" w14:textId="77777777" w:rsidR="00DD5446" w:rsidRPr="00DD5446" w:rsidRDefault="00DD5446" w:rsidP="00DD5446">
      <w:pPr>
        <w:jc w:val="center"/>
        <w:rPr>
          <w:rFonts w:ascii="Aptos" w:hAnsi="Aptos"/>
          <w:b/>
          <w:bCs/>
          <w:sz w:val="20"/>
          <w:szCs w:val="20"/>
        </w:rPr>
      </w:pPr>
      <w:r w:rsidRPr="00DD5446">
        <w:rPr>
          <w:rFonts w:ascii="Aptos" w:hAnsi="Aptos"/>
          <w:b/>
          <w:bCs/>
          <w:sz w:val="20"/>
          <w:szCs w:val="20"/>
        </w:rPr>
        <w:t>SPECYFIKACJA TECHNICZNO – FUNKCJONALNA</w:t>
      </w:r>
    </w:p>
    <w:p w14:paraId="0FDE09E4" w14:textId="4BCC49CF" w:rsidR="00DD5446" w:rsidRPr="00DD5446" w:rsidRDefault="001C515D" w:rsidP="00DD5446">
      <w:pPr>
        <w:jc w:val="center"/>
        <w:rPr>
          <w:rFonts w:ascii="Aptos" w:hAnsi="Aptos"/>
          <w:b/>
          <w:bCs/>
          <w:sz w:val="20"/>
          <w:szCs w:val="20"/>
        </w:rPr>
      </w:pPr>
      <w:r>
        <w:rPr>
          <w:rFonts w:ascii="Aptos" w:hAnsi="Aptos"/>
          <w:b/>
          <w:bCs/>
          <w:sz w:val="20"/>
          <w:szCs w:val="20"/>
        </w:rPr>
        <w:t>Myjka do mycia głowicy przezprzełykowej</w:t>
      </w:r>
    </w:p>
    <w:p w14:paraId="542E1943" w14:textId="77777777" w:rsidR="00DD5446" w:rsidRPr="00DD5446" w:rsidRDefault="00DD5446" w:rsidP="00DD5446">
      <w:pPr>
        <w:jc w:val="center"/>
        <w:rPr>
          <w:rFonts w:ascii="Aptos" w:hAnsi="Aptos"/>
          <w:b/>
          <w:bCs/>
          <w:sz w:val="20"/>
          <w:szCs w:val="20"/>
        </w:rPr>
      </w:pPr>
    </w:p>
    <w:p w14:paraId="078C0A57" w14:textId="77777777" w:rsidR="00DD5446" w:rsidRPr="00DD5446" w:rsidRDefault="00DD5446" w:rsidP="00DD5446">
      <w:pPr>
        <w:rPr>
          <w:rFonts w:ascii="Aptos" w:hAnsi="Aptos"/>
          <w:b/>
          <w:bCs/>
          <w:sz w:val="20"/>
          <w:szCs w:val="20"/>
        </w:rPr>
      </w:pPr>
      <w:r w:rsidRPr="00DD5446">
        <w:rPr>
          <w:rFonts w:ascii="Aptos" w:hAnsi="Aptos"/>
          <w:b/>
          <w:bCs/>
          <w:sz w:val="20"/>
          <w:szCs w:val="20"/>
        </w:rPr>
        <w:t>Oferowane urządzenie (typ, model, producent) ………………………………….</w:t>
      </w:r>
    </w:p>
    <w:p w14:paraId="41F49F7B" w14:textId="73AD462A" w:rsidR="00DD5446" w:rsidRPr="00DD5446" w:rsidRDefault="00DD54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ptos" w:eastAsia="Arial" w:hAnsi="Aptos" w:cs="Arial"/>
          <w:color w:val="000000"/>
          <w:sz w:val="20"/>
          <w:szCs w:val="20"/>
        </w:rPr>
      </w:pPr>
      <w:r w:rsidRPr="00DD5446">
        <w:rPr>
          <w:rFonts w:ascii="Aptos" w:eastAsia="Arial" w:hAnsi="Aptos" w:cs="Arial"/>
          <w:color w:val="000000"/>
          <w:sz w:val="20"/>
          <w:szCs w:val="20"/>
        </w:rPr>
        <w:t xml:space="preserve"> </w:t>
      </w:r>
    </w:p>
    <w:p w14:paraId="44567FB8" w14:textId="3C35BADE" w:rsidR="00DD5446" w:rsidRPr="00DD5446" w:rsidRDefault="00DD54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ptos" w:eastAsia="Arial" w:hAnsi="Aptos" w:cs="Arial"/>
          <w:color w:val="000000"/>
          <w:sz w:val="20"/>
          <w:szCs w:val="20"/>
        </w:rPr>
      </w:pPr>
      <w:r w:rsidRPr="00DD5446">
        <w:rPr>
          <w:rFonts w:ascii="Aptos" w:eastAsia="Arial" w:hAnsi="Aptos" w:cs="Arial"/>
          <w:color w:val="000000"/>
          <w:sz w:val="20"/>
          <w:szCs w:val="20"/>
        </w:rPr>
        <w:t>Rok produkcji: ……………</w:t>
      </w:r>
    </w:p>
    <w:p w14:paraId="1CF56D1D" w14:textId="77777777" w:rsidR="00DD5446" w:rsidRPr="00DD5446" w:rsidRDefault="00DD54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ptos" w:eastAsia="Arial" w:hAnsi="Aptos" w:cs="Arial"/>
          <w:color w:val="000000"/>
          <w:sz w:val="20"/>
          <w:szCs w:val="20"/>
        </w:rPr>
      </w:pPr>
    </w:p>
    <w:tbl>
      <w:tblPr>
        <w:tblStyle w:val="a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000" w:firstRow="0" w:lastRow="0" w:firstColumn="0" w:lastColumn="0" w:noHBand="0" w:noVBand="0"/>
      </w:tblPr>
      <w:tblGrid>
        <w:gridCol w:w="685"/>
        <w:gridCol w:w="11"/>
        <w:gridCol w:w="8908"/>
        <w:gridCol w:w="14"/>
        <w:gridCol w:w="2000"/>
        <w:gridCol w:w="2366"/>
      </w:tblGrid>
      <w:tr w:rsidR="004B23C9" w:rsidRPr="00DD5446" w14:paraId="491290B4" w14:textId="77777777" w:rsidTr="00DD5446">
        <w:tc>
          <w:tcPr>
            <w:tcW w:w="245" w:type="pct"/>
            <w:vAlign w:val="center"/>
          </w:tcPr>
          <w:p w14:paraId="5FBCB8C5" w14:textId="77777777" w:rsidR="004B23C9" w:rsidRPr="00DD5446" w:rsidRDefault="003E7A3A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DD5446">
              <w:rPr>
                <w:rFonts w:ascii="Aptos" w:hAnsi="Aptos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09523A" w14:textId="77777777" w:rsidR="004B23C9" w:rsidRPr="00DD5446" w:rsidRDefault="003E7A3A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DD5446">
              <w:rPr>
                <w:rFonts w:ascii="Aptos" w:hAnsi="Aptos"/>
                <w:b/>
                <w:bCs/>
                <w:sz w:val="20"/>
                <w:szCs w:val="20"/>
              </w:rPr>
              <w:t>Opis parametrów wymaganych</w:t>
            </w:r>
          </w:p>
        </w:tc>
        <w:tc>
          <w:tcPr>
            <w:tcW w:w="720" w:type="pct"/>
            <w:gridSpan w:val="2"/>
            <w:vAlign w:val="center"/>
          </w:tcPr>
          <w:p w14:paraId="0EA47428" w14:textId="77777777" w:rsidR="004B23C9" w:rsidRPr="00DD5446" w:rsidRDefault="003E7A3A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DD5446">
              <w:rPr>
                <w:rFonts w:ascii="Aptos" w:hAnsi="Aptos"/>
                <w:b/>
                <w:bCs/>
                <w:sz w:val="20"/>
                <w:szCs w:val="20"/>
              </w:rPr>
              <w:t>Parametr wymagany</w:t>
            </w:r>
          </w:p>
        </w:tc>
        <w:tc>
          <w:tcPr>
            <w:tcW w:w="846" w:type="pct"/>
            <w:vAlign w:val="center"/>
          </w:tcPr>
          <w:p w14:paraId="5608EA63" w14:textId="77777777" w:rsidR="004B23C9" w:rsidRPr="00DD5446" w:rsidRDefault="003E7A3A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DD5446">
              <w:rPr>
                <w:rFonts w:ascii="Aptos" w:hAnsi="Aptos"/>
                <w:b/>
                <w:bCs/>
                <w:sz w:val="20"/>
                <w:szCs w:val="20"/>
              </w:rPr>
              <w:t>Potwierdzenie spełnienia warunku /</w:t>
            </w:r>
          </w:p>
          <w:p w14:paraId="2F14B939" w14:textId="77777777" w:rsidR="004B23C9" w:rsidRPr="00DD5446" w:rsidRDefault="003E7A3A">
            <w:pPr>
              <w:rPr>
                <w:rFonts w:ascii="Aptos" w:hAnsi="Aptos"/>
                <w:b/>
                <w:bCs/>
                <w:sz w:val="20"/>
                <w:szCs w:val="20"/>
              </w:rPr>
            </w:pPr>
            <w:r w:rsidRPr="00DD5446">
              <w:rPr>
                <w:rFonts w:ascii="Aptos" w:hAnsi="Aptos"/>
                <w:b/>
                <w:bCs/>
                <w:sz w:val="20"/>
                <w:szCs w:val="20"/>
              </w:rPr>
              <w:t>opisać</w:t>
            </w:r>
          </w:p>
        </w:tc>
      </w:tr>
      <w:tr w:rsidR="004B23C9" w:rsidRPr="00DD5446" w14:paraId="67CAA8B2" w14:textId="77777777" w:rsidTr="00DD5446">
        <w:tc>
          <w:tcPr>
            <w:tcW w:w="5000" w:type="pct"/>
            <w:gridSpan w:val="6"/>
            <w:vAlign w:val="center"/>
          </w:tcPr>
          <w:p w14:paraId="684630CA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  <w:t>Wymagania ogólne</w:t>
            </w:r>
          </w:p>
        </w:tc>
      </w:tr>
      <w:tr w:rsidR="004B23C9" w:rsidRPr="00DD5446" w14:paraId="4DA7B874" w14:textId="77777777" w:rsidTr="00DD5446">
        <w:tc>
          <w:tcPr>
            <w:tcW w:w="5000" w:type="pct"/>
            <w:gridSpan w:val="6"/>
            <w:vAlign w:val="center"/>
          </w:tcPr>
          <w:p w14:paraId="64B6A368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  <w:t>Myjnia-dezynfektor do sond przezprzełykowych</w:t>
            </w:r>
          </w:p>
        </w:tc>
      </w:tr>
      <w:tr w:rsidR="004B23C9" w:rsidRPr="00DD5446" w14:paraId="4E122DF0" w14:textId="77777777" w:rsidTr="00DD5446">
        <w:tc>
          <w:tcPr>
            <w:tcW w:w="245" w:type="pct"/>
            <w:vAlign w:val="center"/>
          </w:tcPr>
          <w:p w14:paraId="365C14A8" w14:textId="311C4199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134B2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Zgodność z normą EN PN 15883-1</w:t>
            </w:r>
          </w:p>
        </w:tc>
        <w:tc>
          <w:tcPr>
            <w:tcW w:w="720" w:type="pct"/>
            <w:gridSpan w:val="2"/>
          </w:tcPr>
          <w:p w14:paraId="2E9F44F7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2F258954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62B44E83" w14:textId="77777777" w:rsidTr="00DD5446">
        <w:tc>
          <w:tcPr>
            <w:tcW w:w="245" w:type="pct"/>
            <w:vAlign w:val="center"/>
          </w:tcPr>
          <w:p w14:paraId="2A792289" w14:textId="240D4F12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EAD27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Czas pełnego cyklu mycia i dezynfekcji – max. 15 min.</w:t>
            </w:r>
          </w:p>
        </w:tc>
        <w:tc>
          <w:tcPr>
            <w:tcW w:w="720" w:type="pct"/>
            <w:gridSpan w:val="2"/>
          </w:tcPr>
          <w:p w14:paraId="0DB55A4F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01563177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35891194" w14:textId="77777777" w:rsidTr="00DD5446">
        <w:tc>
          <w:tcPr>
            <w:tcW w:w="245" w:type="pct"/>
            <w:vAlign w:val="center"/>
          </w:tcPr>
          <w:p w14:paraId="3A34DED8" w14:textId="2D9F19C4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5CEF3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Ładowność – jedna sonda w jednym cyklu</w:t>
            </w:r>
          </w:p>
        </w:tc>
        <w:tc>
          <w:tcPr>
            <w:tcW w:w="720" w:type="pct"/>
            <w:gridSpan w:val="2"/>
          </w:tcPr>
          <w:p w14:paraId="0BF108E3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38EEA051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28B1378E" w14:textId="77777777" w:rsidTr="00DD5446">
        <w:tc>
          <w:tcPr>
            <w:tcW w:w="245" w:type="pct"/>
            <w:vAlign w:val="center"/>
          </w:tcPr>
          <w:p w14:paraId="66741F8C" w14:textId="4BAC3ED5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B3453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Załadunek sond od góry</w:t>
            </w:r>
          </w:p>
        </w:tc>
        <w:tc>
          <w:tcPr>
            <w:tcW w:w="720" w:type="pct"/>
            <w:gridSpan w:val="2"/>
          </w:tcPr>
          <w:p w14:paraId="4D430E4C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208851A7" w14:textId="77777777" w:rsidR="004B23C9" w:rsidRPr="00DD5446" w:rsidRDefault="004B23C9">
            <w:pPr>
              <w:rPr>
                <w:rFonts w:ascii="Aptos" w:eastAsia="Arial" w:hAnsi="Aptos" w:cs="Arial"/>
                <w:sz w:val="20"/>
                <w:szCs w:val="20"/>
              </w:rPr>
            </w:pPr>
          </w:p>
        </w:tc>
      </w:tr>
      <w:tr w:rsidR="004B23C9" w:rsidRPr="00DD5446" w14:paraId="11BD9AC6" w14:textId="77777777" w:rsidTr="00DD5446">
        <w:tc>
          <w:tcPr>
            <w:tcW w:w="245" w:type="pct"/>
            <w:vAlign w:val="center"/>
          </w:tcPr>
          <w:p w14:paraId="31AD0BCB" w14:textId="29F347EC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A2FFB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Temperatura cyklu – max. 40 st. C</w:t>
            </w:r>
          </w:p>
        </w:tc>
        <w:tc>
          <w:tcPr>
            <w:tcW w:w="720" w:type="pct"/>
            <w:gridSpan w:val="2"/>
          </w:tcPr>
          <w:p w14:paraId="59FF83BA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3A6D64B7" w14:textId="77777777" w:rsidR="004B23C9" w:rsidRPr="00DD5446" w:rsidRDefault="004B23C9">
            <w:pPr>
              <w:rPr>
                <w:rFonts w:ascii="Aptos" w:eastAsia="Arial" w:hAnsi="Aptos" w:cs="Arial"/>
                <w:sz w:val="20"/>
                <w:szCs w:val="20"/>
              </w:rPr>
            </w:pPr>
          </w:p>
        </w:tc>
      </w:tr>
      <w:tr w:rsidR="004B23C9" w:rsidRPr="00DD5446" w14:paraId="6F599C6E" w14:textId="77777777" w:rsidTr="00DD5446">
        <w:tc>
          <w:tcPr>
            <w:tcW w:w="245" w:type="pct"/>
            <w:vAlign w:val="center"/>
          </w:tcPr>
          <w:p w14:paraId="31E74CB0" w14:textId="751AFAB4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5BC9B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Test upływu elektrycznego (izolacji el.)</w:t>
            </w:r>
          </w:p>
        </w:tc>
        <w:tc>
          <w:tcPr>
            <w:tcW w:w="720" w:type="pct"/>
            <w:gridSpan w:val="2"/>
          </w:tcPr>
          <w:p w14:paraId="6CD1306A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303B55DC" w14:textId="77777777" w:rsidR="004B23C9" w:rsidRPr="00DD5446" w:rsidRDefault="004B23C9">
            <w:pPr>
              <w:rPr>
                <w:rFonts w:ascii="Aptos" w:eastAsia="Arial" w:hAnsi="Aptos" w:cs="Arial"/>
                <w:sz w:val="20"/>
                <w:szCs w:val="20"/>
              </w:rPr>
            </w:pPr>
          </w:p>
        </w:tc>
      </w:tr>
      <w:tr w:rsidR="004B23C9" w:rsidRPr="00DD5446" w14:paraId="0F2DC56A" w14:textId="77777777" w:rsidTr="001C515D">
        <w:trPr>
          <w:trHeight w:val="20"/>
        </w:trPr>
        <w:tc>
          <w:tcPr>
            <w:tcW w:w="245" w:type="pct"/>
            <w:vAlign w:val="center"/>
          </w:tcPr>
          <w:p w14:paraId="5BD31B0D" w14:textId="2710C0A8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19B90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Środek dezynfekcyjny na bazie kwasu nadoctowego</w:t>
            </w:r>
          </w:p>
        </w:tc>
        <w:tc>
          <w:tcPr>
            <w:tcW w:w="720" w:type="pct"/>
            <w:gridSpan w:val="2"/>
          </w:tcPr>
          <w:p w14:paraId="3A79B4FC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6A2100EF" w14:textId="77777777" w:rsidR="004B23C9" w:rsidRPr="00DD5446" w:rsidRDefault="004B23C9">
            <w:pPr>
              <w:rPr>
                <w:rFonts w:ascii="Aptos" w:eastAsia="Arial" w:hAnsi="Aptos" w:cs="Arial"/>
                <w:sz w:val="20"/>
                <w:szCs w:val="20"/>
              </w:rPr>
            </w:pPr>
          </w:p>
        </w:tc>
      </w:tr>
      <w:tr w:rsidR="004B23C9" w:rsidRPr="00DD5446" w14:paraId="141F19FD" w14:textId="77777777" w:rsidTr="00DD5446">
        <w:tc>
          <w:tcPr>
            <w:tcW w:w="245" w:type="pct"/>
            <w:vAlign w:val="center"/>
          </w:tcPr>
          <w:p w14:paraId="69FB3F42" w14:textId="48BBAAD9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B6B951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Dotykowy panel kontrolny LCD min. 7-calowy</w:t>
            </w:r>
          </w:p>
        </w:tc>
        <w:tc>
          <w:tcPr>
            <w:tcW w:w="720" w:type="pct"/>
            <w:gridSpan w:val="2"/>
          </w:tcPr>
          <w:p w14:paraId="0AF03950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3CD36038" w14:textId="77777777" w:rsidR="004B23C9" w:rsidRPr="00DD5446" w:rsidRDefault="004B23C9">
            <w:pPr>
              <w:rPr>
                <w:rFonts w:ascii="Aptos" w:eastAsia="Arial" w:hAnsi="Aptos" w:cs="Arial"/>
                <w:sz w:val="20"/>
                <w:szCs w:val="20"/>
              </w:rPr>
            </w:pPr>
          </w:p>
        </w:tc>
      </w:tr>
      <w:tr w:rsidR="004B23C9" w:rsidRPr="00DD5446" w14:paraId="74E8C7C1" w14:textId="77777777" w:rsidTr="00DD5446">
        <w:tc>
          <w:tcPr>
            <w:tcW w:w="245" w:type="pct"/>
            <w:vAlign w:val="center"/>
          </w:tcPr>
          <w:p w14:paraId="0834C9FE" w14:textId="62961B0D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35C8E6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Cykl autodezynfekcji obejmujący końcowy filtr wody</w:t>
            </w:r>
          </w:p>
        </w:tc>
        <w:tc>
          <w:tcPr>
            <w:tcW w:w="720" w:type="pct"/>
            <w:gridSpan w:val="2"/>
          </w:tcPr>
          <w:p w14:paraId="6668FF29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6511BF67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1C0620FA" w14:textId="77777777" w:rsidTr="00DD5446">
        <w:tc>
          <w:tcPr>
            <w:tcW w:w="245" w:type="pct"/>
            <w:vAlign w:val="center"/>
          </w:tcPr>
          <w:p w14:paraId="21442230" w14:textId="3398A1DB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054A4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Cykl inaktywacji prionów</w:t>
            </w:r>
          </w:p>
        </w:tc>
        <w:tc>
          <w:tcPr>
            <w:tcW w:w="720" w:type="pct"/>
            <w:gridSpan w:val="2"/>
          </w:tcPr>
          <w:p w14:paraId="321C032D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77B2A8E4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78FFC5B2" w14:textId="77777777" w:rsidTr="00DD5446">
        <w:tc>
          <w:tcPr>
            <w:tcW w:w="245" w:type="pct"/>
            <w:vAlign w:val="center"/>
          </w:tcPr>
          <w:p w14:paraId="322BCAE6" w14:textId="01862A20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3963F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Uzdatnianie wody – filtry wstępne 1µm i 0,2µm</w:t>
            </w:r>
          </w:p>
        </w:tc>
        <w:tc>
          <w:tcPr>
            <w:tcW w:w="720" w:type="pct"/>
            <w:gridSpan w:val="2"/>
          </w:tcPr>
          <w:p w14:paraId="6B77CDAB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6E1A10B4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2CACC729" w14:textId="77777777" w:rsidTr="00DD5446">
        <w:tc>
          <w:tcPr>
            <w:tcW w:w="245" w:type="pct"/>
            <w:vAlign w:val="center"/>
          </w:tcPr>
          <w:p w14:paraId="075024B2" w14:textId="130ABFC1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C6ADA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Uzdatnianie wody – filtr końcowy 0,2µm</w:t>
            </w:r>
          </w:p>
        </w:tc>
        <w:tc>
          <w:tcPr>
            <w:tcW w:w="720" w:type="pct"/>
            <w:gridSpan w:val="2"/>
          </w:tcPr>
          <w:p w14:paraId="13BBEACA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2B2B06B3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467FB3EA" w14:textId="77777777" w:rsidTr="00DD5446">
        <w:tc>
          <w:tcPr>
            <w:tcW w:w="245" w:type="pct"/>
            <w:vAlign w:val="center"/>
          </w:tcPr>
          <w:p w14:paraId="7B614A54" w14:textId="1E6B1673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6D81EF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Zasilanie myjni wodą wodociągową</w:t>
            </w:r>
          </w:p>
        </w:tc>
        <w:tc>
          <w:tcPr>
            <w:tcW w:w="720" w:type="pct"/>
            <w:gridSpan w:val="2"/>
          </w:tcPr>
          <w:p w14:paraId="2A1E8CC3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710ACDA2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40198A7E" w14:textId="77777777" w:rsidTr="00DD5446">
        <w:tc>
          <w:tcPr>
            <w:tcW w:w="2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25FFC9" w14:textId="0D48F5C3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28B73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Jednorazowe użycie preparatów chemicznych</w:t>
            </w:r>
          </w:p>
        </w:tc>
        <w:tc>
          <w:tcPr>
            <w:tcW w:w="72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3C94EA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F29C28E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6A03D40F" w14:textId="77777777" w:rsidTr="00DD5446">
        <w:tc>
          <w:tcPr>
            <w:tcW w:w="2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EE2D380" w14:textId="4308E99B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8932A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Hermetyczna komora mycia – brak oparów środków chemicznych</w:t>
            </w:r>
          </w:p>
        </w:tc>
        <w:tc>
          <w:tcPr>
            <w:tcW w:w="72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929EE7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4E6EC4B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0E0FEE29" w14:textId="77777777" w:rsidTr="00DD5446">
        <w:tc>
          <w:tcPr>
            <w:tcW w:w="245" w:type="pct"/>
            <w:vAlign w:val="center"/>
          </w:tcPr>
          <w:p w14:paraId="2FEB22FC" w14:textId="47F6C480" w:rsidR="004B23C9" w:rsidRPr="001C515D" w:rsidRDefault="004B23C9" w:rsidP="001C515D">
            <w:pPr>
              <w:pStyle w:val="Akapitzlist"/>
              <w:numPr>
                <w:ilvl w:val="0"/>
                <w:numId w:val="1"/>
              </w:numPr>
              <w:jc w:val="center"/>
              <w:rPr>
                <w:rFonts w:ascii="Aptos" w:hAnsi="Aptos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A9E7B9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Czytnik kodów kreskowych i drukarka</w:t>
            </w:r>
          </w:p>
        </w:tc>
        <w:tc>
          <w:tcPr>
            <w:tcW w:w="720" w:type="pct"/>
            <w:gridSpan w:val="2"/>
          </w:tcPr>
          <w:p w14:paraId="132B9DAB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0B4C6D76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0BE41A5B" w14:textId="77777777" w:rsidTr="00DD5446">
        <w:tc>
          <w:tcPr>
            <w:tcW w:w="245" w:type="pct"/>
            <w:vAlign w:val="center"/>
          </w:tcPr>
          <w:p w14:paraId="14304768" w14:textId="60DD34EB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  <w:tc>
          <w:tcPr>
            <w:tcW w:w="3189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301037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Maksymalne wymiary reprocesora</w:t>
            </w:r>
          </w:p>
          <w:p w14:paraId="1DEAC0A2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Szerokość 40 cm</w:t>
            </w:r>
          </w:p>
          <w:p w14:paraId="51ECD899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 xml:space="preserve">Głębokość 90 cm </w:t>
            </w:r>
          </w:p>
          <w:p w14:paraId="063E45F2" w14:textId="77777777" w:rsidR="004B23C9" w:rsidRPr="00DD5446" w:rsidRDefault="003E7A3A">
            <w:pPr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Wysokość 120cm</w:t>
            </w:r>
          </w:p>
        </w:tc>
        <w:tc>
          <w:tcPr>
            <w:tcW w:w="720" w:type="pct"/>
            <w:gridSpan w:val="2"/>
          </w:tcPr>
          <w:p w14:paraId="1E0DF8A8" w14:textId="77777777" w:rsidR="004B23C9" w:rsidRPr="00DD5446" w:rsidRDefault="003E7A3A">
            <w:pPr>
              <w:jc w:val="center"/>
              <w:rPr>
                <w:rFonts w:ascii="Aptos" w:eastAsia="Arial" w:hAnsi="Aptos" w:cs="Arial"/>
                <w:sz w:val="20"/>
                <w:szCs w:val="20"/>
              </w:rPr>
            </w:pPr>
            <w:r w:rsidRPr="00DD5446">
              <w:rPr>
                <w:rFonts w:ascii="Aptos" w:eastAsia="Arial" w:hAnsi="Aptos" w:cs="Arial"/>
                <w:sz w:val="20"/>
                <w:szCs w:val="20"/>
              </w:rPr>
              <w:t>Tak (podać)</w:t>
            </w:r>
          </w:p>
        </w:tc>
        <w:tc>
          <w:tcPr>
            <w:tcW w:w="846" w:type="pct"/>
            <w:vAlign w:val="center"/>
          </w:tcPr>
          <w:p w14:paraId="19091129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Arial" w:hAnsi="Aptos" w:cs="Arial"/>
                <w:color w:val="000000"/>
                <w:sz w:val="20"/>
                <w:szCs w:val="20"/>
              </w:rPr>
            </w:pPr>
          </w:p>
        </w:tc>
      </w:tr>
      <w:tr w:rsidR="004B23C9" w:rsidRPr="00DD5446" w14:paraId="30F211AB" w14:textId="77777777" w:rsidTr="00DD5446">
        <w:tc>
          <w:tcPr>
            <w:tcW w:w="5000" w:type="pct"/>
            <w:gridSpan w:val="6"/>
            <w:vAlign w:val="center"/>
          </w:tcPr>
          <w:p w14:paraId="3681E9C6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b/>
                <w:bCs/>
                <w:color w:val="000000"/>
                <w:sz w:val="20"/>
                <w:szCs w:val="20"/>
              </w:rPr>
              <w:t>Warunki gwarancji</w:t>
            </w:r>
          </w:p>
        </w:tc>
      </w:tr>
      <w:tr w:rsidR="004B23C9" w:rsidRPr="00DD5446" w14:paraId="5E0AB73A" w14:textId="77777777" w:rsidTr="00DD5446">
        <w:tc>
          <w:tcPr>
            <w:tcW w:w="249" w:type="pct"/>
            <w:gridSpan w:val="2"/>
            <w:vAlign w:val="center"/>
          </w:tcPr>
          <w:p w14:paraId="519CA490" w14:textId="33C070BD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62012E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>Instrukcja obsługi urządzenia w języku polskim.</w:t>
            </w:r>
          </w:p>
        </w:tc>
        <w:tc>
          <w:tcPr>
            <w:tcW w:w="715" w:type="pct"/>
            <w:vAlign w:val="center"/>
          </w:tcPr>
          <w:p w14:paraId="27D40586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0BE4A7EC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  <w:tr w:rsidR="004B23C9" w:rsidRPr="00DD5446" w14:paraId="6204317C" w14:textId="77777777" w:rsidTr="00DD5446">
        <w:tc>
          <w:tcPr>
            <w:tcW w:w="249" w:type="pct"/>
            <w:gridSpan w:val="2"/>
            <w:vAlign w:val="center"/>
          </w:tcPr>
          <w:p w14:paraId="5C240DE3" w14:textId="78B1C964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35AF81" w14:textId="0DDFEEC0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 xml:space="preserve">Gwarancja zapewniona przez autoryzowany serwis producenta min. </w:t>
            </w:r>
            <w:r w:rsidRPr="00DD5446">
              <w:rPr>
                <w:rFonts w:ascii="Aptos" w:eastAsia="Bookman Old Style" w:hAnsi="Aptos" w:cs="Bookman Old Style"/>
                <w:sz w:val="20"/>
                <w:szCs w:val="20"/>
              </w:rPr>
              <w:t>12</w:t>
            </w: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 xml:space="preserve"> miesięcy.</w:t>
            </w:r>
          </w:p>
        </w:tc>
        <w:tc>
          <w:tcPr>
            <w:tcW w:w="715" w:type="pct"/>
            <w:vAlign w:val="center"/>
          </w:tcPr>
          <w:p w14:paraId="1C9AD33D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846" w:type="pct"/>
            <w:vAlign w:val="center"/>
          </w:tcPr>
          <w:p w14:paraId="7AA689DF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  <w:tr w:rsidR="004B23C9" w:rsidRPr="00DD5446" w14:paraId="39D16D55" w14:textId="77777777" w:rsidTr="00DD5446">
        <w:tc>
          <w:tcPr>
            <w:tcW w:w="249" w:type="pct"/>
            <w:gridSpan w:val="2"/>
            <w:vAlign w:val="center"/>
          </w:tcPr>
          <w:p w14:paraId="55EB5D74" w14:textId="5787ED26" w:rsidR="004B23C9" w:rsidRPr="001C515D" w:rsidRDefault="004B23C9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6D0B33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 xml:space="preserve">Możliwość kontaktu i konsultacji telefonicznej </w:t>
            </w: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br/>
              <w:t>z inżynierami serwisu w czasie trwania gwarancji jak i w okresie pogwarancyjnym.</w:t>
            </w:r>
          </w:p>
        </w:tc>
        <w:tc>
          <w:tcPr>
            <w:tcW w:w="715" w:type="pct"/>
            <w:vAlign w:val="center"/>
          </w:tcPr>
          <w:p w14:paraId="0F537820" w14:textId="77777777" w:rsidR="004B23C9" w:rsidRPr="00DD5446" w:rsidRDefault="003E7A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DD5446"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103419E0" w14:textId="77777777" w:rsidR="004B23C9" w:rsidRPr="00DD5446" w:rsidRDefault="004B23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  <w:tr w:rsidR="00DD5446" w:rsidRPr="00DD5446" w14:paraId="59D918A9" w14:textId="77777777" w:rsidTr="00DD5446">
        <w:tc>
          <w:tcPr>
            <w:tcW w:w="249" w:type="pct"/>
            <w:gridSpan w:val="2"/>
            <w:vAlign w:val="center"/>
          </w:tcPr>
          <w:p w14:paraId="0AA49504" w14:textId="14A1B355" w:rsidR="00DD5446" w:rsidRPr="001C515D" w:rsidRDefault="00DD5446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F57C77" w14:textId="6C13E95E" w:rsidR="00DD5446" w:rsidRPr="00DD5446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7C3D43">
              <w:rPr>
                <w:rFonts w:ascii="Aptos" w:hAnsi="Aptos"/>
                <w:sz w:val="20"/>
                <w:szCs w:val="20"/>
              </w:rPr>
              <w:t>Dostępność części zamiennych przez minimum 8 lat od daty podpisania protokołu odbioru.</w:t>
            </w:r>
          </w:p>
        </w:tc>
        <w:tc>
          <w:tcPr>
            <w:tcW w:w="715" w:type="pct"/>
            <w:vAlign w:val="center"/>
          </w:tcPr>
          <w:p w14:paraId="72B4BC0A" w14:textId="52ECBB33" w:rsidR="00DD5446" w:rsidRPr="00DD5446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  <w:r w:rsidRPr="007C3D43">
              <w:rPr>
                <w:rFonts w:ascii="Aptos" w:hAnsi="Aptos"/>
                <w:sz w:val="20"/>
                <w:szCs w:val="20"/>
              </w:rPr>
              <w:t>TAK</w:t>
            </w:r>
          </w:p>
        </w:tc>
        <w:tc>
          <w:tcPr>
            <w:tcW w:w="846" w:type="pct"/>
            <w:vAlign w:val="center"/>
          </w:tcPr>
          <w:p w14:paraId="1A9ED188" w14:textId="77777777" w:rsidR="00DD5446" w:rsidRPr="00DD5446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  <w:tr w:rsidR="00DD5446" w:rsidRPr="00DD5446" w14:paraId="333B1B14" w14:textId="77777777" w:rsidTr="00DD5446">
        <w:tc>
          <w:tcPr>
            <w:tcW w:w="249" w:type="pct"/>
            <w:gridSpan w:val="2"/>
            <w:vAlign w:val="center"/>
          </w:tcPr>
          <w:p w14:paraId="231BD108" w14:textId="1A698645" w:rsidR="00DD5446" w:rsidRPr="001C515D" w:rsidRDefault="00DD5446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2EF65F" w14:textId="54E3EFB8" w:rsidR="00DD5446" w:rsidRPr="007C3D43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hAnsi="Aptos"/>
                <w:sz w:val="20"/>
                <w:szCs w:val="20"/>
              </w:rPr>
            </w:pPr>
            <w:r w:rsidRPr="007C3D43">
              <w:rPr>
                <w:rFonts w:ascii="Aptos" w:eastAsia="Calibri" w:hAnsi="Aptos"/>
                <w:sz w:val="20"/>
                <w:szCs w:val="20"/>
                <w:lang w:eastAsia="hi-IN" w:bidi="hi-IN"/>
              </w:rPr>
              <w:t>Czas reakcji serwisu liczony od chwili zgłoszenia do chwili przystąpienia do usunięcia usterki max. 48 godz. w dni robocze</w:t>
            </w:r>
          </w:p>
        </w:tc>
        <w:tc>
          <w:tcPr>
            <w:tcW w:w="715" w:type="pct"/>
            <w:vAlign w:val="center"/>
          </w:tcPr>
          <w:p w14:paraId="0DAE8BE2" w14:textId="477044B4" w:rsidR="00DD5446" w:rsidRPr="007C3D43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hAnsi="Aptos"/>
                <w:sz w:val="20"/>
                <w:szCs w:val="20"/>
              </w:rPr>
            </w:pPr>
            <w:r>
              <w:rPr>
                <w:rFonts w:ascii="Aptos" w:eastAsia="SimSun" w:hAnsi="Aptos"/>
                <w:sz w:val="20"/>
                <w:szCs w:val="20"/>
                <w:lang w:eastAsia="zh-CN" w:bidi="hi-IN"/>
              </w:rPr>
              <w:t>TAK</w:t>
            </w:r>
          </w:p>
        </w:tc>
        <w:tc>
          <w:tcPr>
            <w:tcW w:w="846" w:type="pct"/>
            <w:vAlign w:val="center"/>
          </w:tcPr>
          <w:p w14:paraId="7C3909D5" w14:textId="77777777" w:rsidR="00DD5446" w:rsidRPr="00DD5446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  <w:tr w:rsidR="00DD5446" w:rsidRPr="00DD5446" w14:paraId="6C30CD6A" w14:textId="77777777" w:rsidTr="00DD5446">
        <w:tc>
          <w:tcPr>
            <w:tcW w:w="249" w:type="pct"/>
            <w:gridSpan w:val="2"/>
            <w:vAlign w:val="center"/>
          </w:tcPr>
          <w:p w14:paraId="68D8C19D" w14:textId="5D50B5FE" w:rsidR="00DD5446" w:rsidRPr="001C515D" w:rsidRDefault="00DD5446" w:rsidP="001C515D">
            <w:pPr>
              <w:pStyle w:val="Akapitzlist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  <w:tc>
          <w:tcPr>
            <w:tcW w:w="319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088595" w14:textId="77777777" w:rsidR="00DD5446" w:rsidRPr="00783FF6" w:rsidRDefault="00DD5446" w:rsidP="00DD5446">
            <w:pPr>
              <w:rPr>
                <w:rFonts w:ascii="Aptos" w:hAnsi="Aptos"/>
                <w:sz w:val="20"/>
                <w:szCs w:val="20"/>
                <w:lang w:eastAsia="ar-SA"/>
              </w:rPr>
            </w:pPr>
            <w:r w:rsidRPr="00783FF6">
              <w:rPr>
                <w:rFonts w:ascii="Aptos" w:hAnsi="Aptos"/>
                <w:sz w:val="20"/>
                <w:szCs w:val="20"/>
                <w:lang w:eastAsia="ar-SA"/>
              </w:rPr>
              <w:t>W ramach udzielonej gwarancji, Wykonawca zobowiązany jest do wykonania, na własny koszt, wszystkich przeglądów technicznych, konserwacji, kalibracji i innych czynności serwisowych, które są wymagane i przewidziane przez producenta urządzenia w okresie, na jaki udzielana jest gwarancja. Wykonanie tych czynności musi być zgodne z dokumentacją techniczną i zaleceniami producenta.</w:t>
            </w:r>
          </w:p>
          <w:p w14:paraId="5E889A1F" w14:textId="77777777" w:rsidR="00DD5446" w:rsidRPr="007C3D43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rPr>
                <w:rFonts w:ascii="Aptos" w:hAnsi="Aptos"/>
                <w:sz w:val="20"/>
                <w:szCs w:val="20"/>
              </w:rPr>
            </w:pPr>
          </w:p>
        </w:tc>
        <w:tc>
          <w:tcPr>
            <w:tcW w:w="715" w:type="pct"/>
            <w:vAlign w:val="center"/>
          </w:tcPr>
          <w:p w14:paraId="398D7B4B" w14:textId="16F976F4" w:rsidR="00DD5446" w:rsidRPr="007C3D43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hAnsi="Aptos"/>
                <w:sz w:val="20"/>
                <w:szCs w:val="20"/>
              </w:rPr>
            </w:pPr>
            <w:r w:rsidRPr="00783FF6">
              <w:rPr>
                <w:rFonts w:ascii="Aptos" w:eastAsia="SimSun" w:hAnsi="Aptos"/>
                <w:kern w:val="2"/>
                <w:sz w:val="20"/>
                <w:szCs w:val="20"/>
                <w:lang w:eastAsia="zh-CN" w:bidi="hi-IN"/>
              </w:rPr>
              <w:t>TAK</w:t>
            </w:r>
          </w:p>
        </w:tc>
        <w:tc>
          <w:tcPr>
            <w:tcW w:w="846" w:type="pct"/>
            <w:vAlign w:val="center"/>
          </w:tcPr>
          <w:p w14:paraId="03BFB288" w14:textId="77777777" w:rsidR="00DD5446" w:rsidRPr="00DD5446" w:rsidRDefault="00DD5446" w:rsidP="00DD54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72"/>
              <w:jc w:val="center"/>
              <w:rPr>
                <w:rFonts w:ascii="Aptos" w:eastAsia="Bookman Old Style" w:hAnsi="Aptos" w:cs="Bookman Old Style"/>
                <w:color w:val="000000"/>
                <w:sz w:val="20"/>
                <w:szCs w:val="20"/>
              </w:rPr>
            </w:pPr>
          </w:p>
        </w:tc>
      </w:tr>
    </w:tbl>
    <w:p w14:paraId="325C303E" w14:textId="77777777" w:rsidR="004B23C9" w:rsidRPr="00DD5446" w:rsidRDefault="004B23C9">
      <w:pPr>
        <w:rPr>
          <w:rFonts w:ascii="Aptos" w:eastAsia="Bookman Old Style" w:hAnsi="Aptos" w:cs="Bookman Old Style"/>
          <w:sz w:val="20"/>
          <w:szCs w:val="20"/>
        </w:rPr>
      </w:pPr>
    </w:p>
    <w:p w14:paraId="15B3969D" w14:textId="77777777" w:rsidR="004B23C9" w:rsidRPr="00DD5446" w:rsidRDefault="004B23C9">
      <w:pPr>
        <w:rPr>
          <w:rFonts w:ascii="Aptos" w:hAnsi="Aptos"/>
          <w:sz w:val="20"/>
          <w:szCs w:val="20"/>
        </w:rPr>
      </w:pPr>
    </w:p>
    <w:sectPr w:rsidR="004B23C9" w:rsidRPr="00DD5446" w:rsidSect="00DD544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417" w:right="1417" w:bottom="1417" w:left="1417" w:header="708" w:footer="708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EFD452" w14:textId="77777777" w:rsidR="00FD4169" w:rsidRDefault="00FD4169" w:rsidP="00DD5446">
      <w:r>
        <w:separator/>
      </w:r>
    </w:p>
  </w:endnote>
  <w:endnote w:type="continuationSeparator" w:id="0">
    <w:p w14:paraId="59505F6E" w14:textId="77777777" w:rsidR="00FD4169" w:rsidRDefault="00FD4169" w:rsidP="00DD54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9C4CC30-7905-45C4-A8B7-234C23C3B1B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2" w:fontKey="{7C4C8F6C-5B6A-4187-A21C-D9C789C5133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35032557-9D67-443A-A58D-822156018A26}"/>
    <w:embedBold r:id="rId4" w:fontKey="{9293407B-C252-444F-BB5B-0EBD30AEB3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5" w:fontKey="{13FD1364-FC9D-45AB-BAD1-031C5CAAF476}"/>
    <w:embedBold r:id="rId6" w:fontKey="{6D3EDA89-F3EB-47A8-BD7E-9BD29BB45CC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7C29A78E-AF3F-4614-8A91-545AC24721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B02A3" w14:textId="77777777" w:rsidR="00DD5446" w:rsidRDefault="00DD544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C79146" w14:textId="77777777" w:rsidR="00DD5446" w:rsidRDefault="00DD5446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A5200" w14:textId="77777777" w:rsidR="00DD5446" w:rsidRDefault="00DD544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C05DC0" w14:textId="77777777" w:rsidR="00FD4169" w:rsidRDefault="00FD4169" w:rsidP="00DD5446">
      <w:r>
        <w:separator/>
      </w:r>
    </w:p>
  </w:footnote>
  <w:footnote w:type="continuationSeparator" w:id="0">
    <w:p w14:paraId="408F1414" w14:textId="77777777" w:rsidR="00FD4169" w:rsidRDefault="00FD4169" w:rsidP="00DD54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927F5F" w14:textId="77777777" w:rsidR="00DD5446" w:rsidRDefault="00DD544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DB280" w14:textId="33989108" w:rsidR="00DD5446" w:rsidRDefault="00DD5446">
    <w:pPr>
      <w:pStyle w:val="Nagwek"/>
    </w:pPr>
    <w:r>
      <w:rPr>
        <w:noProof/>
      </w:rPr>
      <w:drawing>
        <wp:inline distT="0" distB="0" distL="0" distR="0" wp14:anchorId="7F00C13C" wp14:editId="5B021920">
          <wp:extent cx="5759450" cy="575310"/>
          <wp:effectExtent l="0" t="0" r="0" b="0"/>
          <wp:docPr id="702494025" name="Obraz 2" descr="The image displays a series of logos representing the Polish Ministry of Health and the European Union's Next Generation EU program.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2494025" name="Obraz 2" descr="The image displays a series of logos representing the Polish Ministry of Health and the European Union's Next Generation EU program.&#10;&#10;Zawartość wygenerowana przez AI może być niepoprawna.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753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E9FC9" w14:textId="77777777" w:rsidR="00DD5446" w:rsidRDefault="00DD544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D50666"/>
    <w:multiLevelType w:val="hybridMultilevel"/>
    <w:tmpl w:val="F4F863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58058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23C9"/>
    <w:rsid w:val="001C515D"/>
    <w:rsid w:val="003E7A3A"/>
    <w:rsid w:val="004B23C9"/>
    <w:rsid w:val="004B4966"/>
    <w:rsid w:val="006F7465"/>
    <w:rsid w:val="00D30236"/>
    <w:rsid w:val="00DD5446"/>
    <w:rsid w:val="00F80F46"/>
    <w:rsid w:val="00FD4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B16B1"/>
  <w15:docId w15:val="{2658F4E6-36D7-46C2-882A-6AB672EB7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7109B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HTML-akronim">
    <w:name w:val="HTML Acronym"/>
    <w:basedOn w:val="Domylnaczcionkaakapitu"/>
    <w:rsid w:val="0017109B"/>
  </w:style>
  <w:style w:type="paragraph" w:customStyle="1" w:styleId="Timesnewroman">
    <w:name w:val="Times new roman"/>
    <w:basedOn w:val="Normalny"/>
    <w:rsid w:val="0017109B"/>
    <w:pPr>
      <w:widowControl w:val="0"/>
      <w:spacing w:line="259" w:lineRule="atLeast"/>
      <w:ind w:right="72"/>
    </w:pPr>
    <w:rPr>
      <w:rFonts w:eastAsia="Calibri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DD544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46"/>
  </w:style>
  <w:style w:type="paragraph" w:styleId="Stopka">
    <w:name w:val="footer"/>
    <w:basedOn w:val="Normalny"/>
    <w:link w:val="StopkaZnak"/>
    <w:uiPriority w:val="99"/>
    <w:unhideWhenUsed/>
    <w:rsid w:val="00DD544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46"/>
  </w:style>
  <w:style w:type="paragraph" w:styleId="Akapitzlist">
    <w:name w:val="List Paragraph"/>
    <w:basedOn w:val="Normalny"/>
    <w:uiPriority w:val="34"/>
    <w:qFormat/>
    <w:rsid w:val="001C51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M9RjxcTBRuWB3NwgUntFc9AEZg==">CgMxLjA4AHIhMU1Xbmx1WHpLQ1g2N2c2am9qaU0zVjE0WXVOZFl3UVJZ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36E0878FE4074DB5DB0ACFCE22072E" ma:contentTypeVersion="18" ma:contentTypeDescription="Utwórz nowy dokument." ma:contentTypeScope="" ma:versionID="5c157d000a5c9ac3806807a342a6fd67">
  <xsd:schema xmlns:xsd="http://www.w3.org/2001/XMLSchema" xmlns:xs="http://www.w3.org/2001/XMLSchema" xmlns:p="http://schemas.microsoft.com/office/2006/metadata/properties" xmlns:ns2="b0a7f652-8be4-4f03-937f-6e5f9716f487" xmlns:ns3="79044058-ee49-4506-85cb-ff0a31a4b388" targetNamespace="http://schemas.microsoft.com/office/2006/metadata/properties" ma:root="true" ma:fieldsID="056cad434965e9b0843dbe8870941b90" ns2:_="" ns3:_="">
    <xsd:import namespace="b0a7f652-8be4-4f03-937f-6e5f9716f487"/>
    <xsd:import namespace="79044058-ee49-4506-85cb-ff0a31a4b3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DateTaken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a7f652-8be4-4f03-937f-6e5f9716f48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caf934f-8759-4dd0-8bb0-2ef6a705fb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044058-ee49-4506-85cb-ff0a31a4b38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d368d8d-7b52-4c7c-8df2-0d9b7e0785a5}" ma:internalName="TaxCatchAll" ma:showField="CatchAllData" ma:web="79044058-ee49-4506-85cb-ff0a31a4b38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9044058-ee49-4506-85cb-ff0a31a4b388" xsi:nil="true"/>
    <lcf76f155ced4ddcb4097134ff3c332f xmlns="b0a7f652-8be4-4f03-937f-6e5f9716f48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A72700D-4607-41DB-9283-BC09AB4ECA4E}"/>
</file>

<file path=customXml/itemProps3.xml><?xml version="1.0" encoding="utf-8"?>
<ds:datastoreItem xmlns:ds="http://schemas.openxmlformats.org/officeDocument/2006/customXml" ds:itemID="{8359BF3B-907A-495C-87C0-3BB9A0EA20FF}"/>
</file>

<file path=customXml/itemProps4.xml><?xml version="1.0" encoding="utf-8"?>
<ds:datastoreItem xmlns:ds="http://schemas.openxmlformats.org/officeDocument/2006/customXml" ds:itemID="{B442BD31-2068-4196-BB30-8D900506BDA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300</Words>
  <Characters>1785</Characters>
  <Application>Microsoft Office Word</Application>
  <DocSecurity>0</DocSecurity>
  <Lines>162</Lines>
  <Paragraphs>122</Paragraphs>
  <ScaleCrop>false</ScaleCrop>
  <Company/>
  <LinksUpToDate>false</LinksUpToDate>
  <CharactersWithSpaces>1963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Szymanski, Mariusz</dc:creator>
  <cp:lastModifiedBy>Michał Janas | mjc sp. z o.o.</cp:lastModifiedBy>
  <cp:revision>5</cp:revision>
  <dcterms:created xsi:type="dcterms:W3CDTF">2026-01-27T12:30:00Z</dcterms:created>
  <dcterms:modified xsi:type="dcterms:W3CDTF">2026-04-02T03:33:00Z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0x0101004036E0878FE4074DB5DB0ACFCE22072E</vt:lpwstr>
  </property>
</Properties>
</file>